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平昌县数签签串串店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 xml:space="preserve">新平街西段65号二楼门市入口楼梯处（大约共占用4平方米）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开业活动（摆放花篮）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五年三月二十二日至二零二五年三月二十四日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平昌县数签签串串店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2"/>
          <w:szCs w:val="22"/>
          <w:u w:val="single"/>
          <w:lang w:val="en-US" w:eastAsia="zh-CN"/>
        </w:rPr>
        <w:t>新平街西段65号二楼门市入口楼梯处（大约共占用4平方米）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开业活动（摆放花篮）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1CA32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五年三月二十二日至二零二五年三月二十四日</w:t>
      </w:r>
    </w:p>
    <w:p w14:paraId="21AC267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37E1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2811" w:firstLineChars="1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平昌县综合行政执法局      </w:t>
      </w:r>
    </w:p>
    <w:p w14:paraId="5D502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432</Words>
  <Characters>444</Characters>
  <Lines>4</Lines>
  <Paragraphs>1</Paragraphs>
  <TotalTime>23</TotalTime>
  <ScaleCrop>false</ScaleCrop>
  <LinksUpToDate>false</LinksUpToDate>
  <CharactersWithSpaces>996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2025-03-21T02:46:47Z</cp:lastPrinted>
  <dcterms:modified xsi:type="dcterms:W3CDTF">2025-03-21T03:02:19Z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63B75CE846DE4D208154F700BCE0AA6A_13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eyJoZGlkIjoiNjMwY2Q3NjM0NzE1MDAwMzMxOTZhZWZlNWExZTg2YzAifQ==</vt:lpwstr>
  </property>
</Properties>
</file>