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平昌县郑朝樵西式快餐店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</w:p>
    <w:p w14:paraId="13E68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上城丽景店门市门口、金太阳光店门市门口（大约共占用6.12平方米）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222" w:leftChars="0" w:right="-314" w:rightChars="0" w:hanging="5222" w:hangingChars="1018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促销活动（气拱门共三个）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五年六月二十八日至二0二五年六月二十九日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平昌县郑朝樵西式快餐店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</w:t>
      </w:r>
    </w:p>
    <w:p w14:paraId="2AA4D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上城丽景店门市门口、金太阳光店门市门口（大约共占用6.12平方米）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促销活动（气拱门共三个）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76882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五年六月二十八日至二0二五年六月二十九日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D4B9B34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       </w:t>
      </w:r>
    </w:p>
    <w:p w14:paraId="1C5EA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D2B8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26B97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A91E4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44240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14719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1F27A5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440E5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41446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456</Words>
  <Characters>472</Characters>
  <Lines>4</Lines>
  <Paragraphs>1</Paragraphs>
  <TotalTime>18</TotalTime>
  <ScaleCrop>false</ScaleCrop>
  <LinksUpToDate>false</LinksUpToDate>
  <CharactersWithSpaces>976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2025-06-24T07:48:17Z</cp:lastPrinted>
  <dcterms:modified xsi:type="dcterms:W3CDTF">2025-06-24T08:06:46Z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FC4790C296594853A0DECAF1E349641B_13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