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B66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平昌县雨杨源食品店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>信义大道26号金锣湾商业城1幢1单元1层2号门市门口（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>大约占用30平方米）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开业活动（摆放花篮、气球拱门一个）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月十五日至二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6EAD3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0E3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276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平昌县雨杨源食品店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 w14:paraId="0FC39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eastAsia="黑体"/>
          <w:b/>
          <w:kern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>信义大道26号金锣湾商业城1幢1单元1层2号门市门口（大约占用30平方米)</w:t>
      </w:r>
    </w:p>
    <w:p w14:paraId="15F7D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" w:leftChars="-95" w:right="-314" w:rightChars="0" w:hanging="394" w:hangingChars="79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开业活动（摆放花篮、气球拱门一个）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</w:t>
      </w:r>
    </w:p>
    <w:p w14:paraId="51937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月十五日至二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4D3B3F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2D4AE8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791C3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90E7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452</Words>
  <Characters>472</Characters>
  <Lines>4</Lines>
  <Paragraphs>1</Paragraphs>
  <TotalTime>17</TotalTime>
  <ScaleCrop>false</ScaleCrop>
  <LinksUpToDate>false</LinksUpToDate>
  <CharactersWithSpaces>821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2025-11-14T02:23:00Z</cp:lastPrinted>
  <dcterms:modified xsi:type="dcterms:W3CDTF">2025-11-14T07:16:49Z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85AA48D74C3E47138D69A4204785DC45_13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