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平昌县万家乐床上用品批发部</w:t>
            </w:r>
          </w:p>
          <w:p w14:paraId="7F469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两江国际4号楼1层1-6号</w:t>
            </w:r>
          </w:p>
          <w:p w14:paraId="139EB397">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 xml:space="preserve"> 万家乐床上用品批发部</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7米，高1.5米，厚0.1米，</w:t>
            </w:r>
            <w:r>
              <w:rPr>
                <w:rFonts w:hint="eastAsia" w:ascii="黑体" w:eastAsia="黑体"/>
                <w:b/>
                <w:kern w:val="0"/>
                <w:sz w:val="20"/>
                <w:szCs w:val="20"/>
                <w:lang w:val="en-US" w:eastAsia="zh-CN"/>
              </w:rPr>
              <w:t>共计平面面积约10.5平方米；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二0二五年二月二十四日至二0二六年二月二十三日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29号</w:t>
            </w:r>
          </w:p>
          <w:p w14:paraId="5EA65A6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:平昌县万家乐床上用品批发部</w:t>
            </w:r>
          </w:p>
          <w:p w14:paraId="2EC23F1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：两江国际4号楼1层1-6号</w:t>
            </w:r>
          </w:p>
          <w:p w14:paraId="4C990F6B">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：万家乐床上用品批发部</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店招共1个，长7米，高</w:t>
            </w:r>
            <w:bookmarkStart w:id="0" w:name="_GoBack"/>
            <w:bookmarkEnd w:id="0"/>
            <w:r>
              <w:rPr>
                <w:rFonts w:hint="eastAsia" w:ascii="黑体" w:eastAsia="黑体"/>
                <w:b/>
                <w:kern w:val="0"/>
                <w:sz w:val="28"/>
                <w:szCs w:val="28"/>
                <w:lang w:val="en-US" w:eastAsia="zh-CN"/>
              </w:rPr>
              <w:t>1.5米，厚0.1米，共计平面面积约10.5</w:t>
            </w:r>
          </w:p>
          <w:p w14:paraId="20CD3B8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二0二五年二月二十四日至二0二六年二月二十三日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6F65CE"/>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92E19"/>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75D8C"/>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05EB6"/>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859</Words>
  <Characters>885</Characters>
  <Lines>5</Lines>
  <Paragraphs>1</Paragraphs>
  <TotalTime>6</TotalTime>
  <ScaleCrop>false</ScaleCrop>
  <LinksUpToDate>false</LinksUpToDate>
  <CharactersWithSpaces>950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2025-02-25T01:16:40Z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F1E90EC1472341E2B93E429301240275_13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