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108号</w:t>
            </w:r>
          </w:p>
          <w:p w14:paraId="5B9D8D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：平昌县川渝暴龙餐饮店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5"/>
                <w:szCs w:val="15"/>
                <w:lang w:val="en-US" w:eastAsia="zh-CN"/>
              </w:rPr>
              <w:t>同州街道信义大道育才路2号S1栋1楼6号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 xml:space="preserve">川渝暴龙 </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，长3米，高1米，厚0.8米，共计</w:t>
            </w:r>
            <w:r>
              <w:rPr>
                <w:rFonts w:hint="eastAsia" w:ascii="黑体" w:hAnsi="黑体" w:eastAsia="黑体" w:cs="黑体"/>
                <w:b/>
                <w:sz w:val="21"/>
                <w:szCs w:val="21"/>
                <w:lang w:val="en-US" w:eastAsia="zh-CN"/>
              </w:rPr>
              <w:t>平面面积约3平方米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：二0二五年四月十日至二0二六年四月九日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108号</w:t>
            </w:r>
          </w:p>
          <w:p w14:paraId="0DE1FC9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平昌县川渝暴龙餐饮店</w:t>
            </w:r>
          </w:p>
          <w:p w14:paraId="3166C2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同州街道信义大道育才路2号S1栋1楼6号</w:t>
            </w:r>
          </w:p>
          <w:p w14:paraId="1FDC5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川渝暴龙</w:t>
            </w:r>
          </w:p>
          <w:p w14:paraId="3755AE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店招共1个，长3米，高1米，厚0.8米，共计平面面积约3</w:t>
            </w:r>
            <w:bookmarkStart w:id="0" w:name="_GoBack"/>
            <w:bookmarkEnd w:id="0"/>
            <w:r>
              <w:rPr>
                <w:rFonts w:hint="eastAsia" w:ascii="黑体" w:eastAsia="黑体"/>
                <w:b/>
                <w:kern w:val="0"/>
                <w:sz w:val="28"/>
                <w:szCs w:val="28"/>
                <w:lang w:val="en-US" w:eastAsia="zh-CN"/>
              </w:rPr>
              <w:t>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二0二五年四月十日至二0二六年四月九日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831</Words>
  <Characters>859</Characters>
  <Lines>5</Lines>
  <Paragraphs>1</Paragraphs>
  <TotalTime>7</TotalTime>
  <ScaleCrop>false</ScaleCrop>
  <LinksUpToDate>false</LinksUpToDate>
  <CharactersWithSpaces>918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2025-04-08T08:30:00Z</cp:lastPrinted>
  <dcterms:modified xsi:type="dcterms:W3CDTF">2025-04-10T02:49:55Z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C4739D1988AB45C0AAFDE339C5C97731_13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