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236号</w:t>
            </w:r>
          </w:p>
          <w:p w14:paraId="776EB6F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6"/>
                <w:szCs w:val="16"/>
                <w:lang w:val="en-US" w:eastAsia="zh-CN"/>
              </w:rPr>
              <w:t>四川省巴中怡和药业连锁有限责任公司</w:t>
            </w:r>
          </w:p>
          <w:p w14:paraId="155FD1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金宝新区金润城4号楼及第1号商业1层1-5号</w:t>
            </w:r>
          </w:p>
          <w:p w14:paraId="5AA60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怡和药房</w:t>
            </w:r>
          </w:p>
          <w:p w14:paraId="479CBB2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店招共1个，长4.2米，高1.3米，厚0.04米，共计平面面积约5.46平方米；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二0二五年八月四日至二0二六年八月三日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bookmarkStart w:id="0" w:name="_GoBack"/>
            <w:bookmarkEnd w:id="0"/>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default" w:ascii="黑体" w:eastAsia="黑体"/>
                <w:b/>
                <w:bCs w:val="0"/>
                <w:sz w:val="22"/>
                <w:szCs w:val="22"/>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236号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:四川省巴中怡和药业连锁有限责任公司</w:t>
            </w:r>
          </w:p>
          <w:p w14:paraId="25E7A9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金宝新区金润城4号楼及第1号商业1层1-5号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怡和药房</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店招共1个，长4.2米，高1.3米，厚0.04米，共计平面面积约5.46平方米；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二0二五年八月四日至二0二六年八月三日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38BE9A3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284B19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EE1787"/>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05C63"/>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A32C5"/>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9241D"/>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896</Characters>
  <Lines>5</Lines>
  <Paragraphs>1</Paragraphs>
  <TotalTime>0</TotalTime>
  <ScaleCrop>false</ScaleCrop>
  <LinksUpToDate>false</LinksUpToDate>
  <CharactersWithSpaces>922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2025-08-04T01:45:00Z</cp:lastPrinted>
  <dcterms:modified xsi:type="dcterms:W3CDTF">2025-08-04T02:20:55Z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7A183746CFB743F089A7DFD6B0B17583_13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