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306号</w:t>
            </w:r>
          </w:p>
          <w:p w14:paraId="69FD9B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：平昌云禾营销策划有限公司</w:t>
            </w:r>
          </w:p>
          <w:p w14:paraId="3ECB7FB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w w:val="100"/>
                <w:kern w:val="0"/>
                <w:sz w:val="24"/>
                <w:szCs w:val="24"/>
                <w:fitText w:val="341" w:id="14035198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11"/>
                <w:szCs w:val="11"/>
                <w:lang w:val="en-US" w:eastAsia="zh-CN"/>
              </w:rPr>
              <w:t>金宝街道竹园社区壹號公馆3号商业楼2楼1号、2号、3号</w:t>
            </w: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eastAsia="黑体"/>
                <w:b/>
                <w:kern w:val="0"/>
                <w:sz w:val="24"/>
                <w:szCs w:val="24"/>
                <w:lang w:val="en-US" w:eastAsia="zh-CN"/>
              </w:rPr>
              <w:t>云禾房产</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325" w:hangingChars="600"/>
              <w:jc w:val="both"/>
              <w:textAlignment w:val="auto"/>
              <w:rPr>
                <w:rFonts w:hint="eastAsia" w:ascii="黑体" w:eastAsia="黑体"/>
                <w:b/>
                <w:kern w:val="0"/>
                <w:sz w:val="24"/>
                <w:szCs w:val="24"/>
                <w:lang w:val="en-US" w:eastAsia="zh-CN"/>
              </w:rPr>
            </w:pPr>
            <w:r>
              <w:rPr>
                <w:rFonts w:hint="eastAsia" w:ascii="黑体" w:hAnsi="黑体" w:eastAsia="黑体" w:cs="黑体"/>
                <w:b/>
                <w:kern w:val="0"/>
                <w:sz w:val="22"/>
                <w:szCs w:val="22"/>
                <w:lang w:val="en-US" w:eastAsia="zh-CN"/>
              </w:rPr>
              <w:t>面积、</w:t>
            </w:r>
            <w:r>
              <w:rPr>
                <w:rFonts w:hint="eastAsia" w:ascii="黑体" w:hAnsi="黑体" w:eastAsia="黑体" w:cs="黑体"/>
                <w:b/>
                <w:kern w:val="0"/>
                <w:sz w:val="21"/>
                <w:szCs w:val="21"/>
                <w:lang w:val="en-US" w:eastAsia="zh-CN"/>
              </w:rPr>
              <w:t>数量</w:t>
            </w:r>
            <w:r>
              <w:rPr>
                <w:rFonts w:hint="eastAsia" w:ascii="黑体" w:eastAsia="黑体"/>
                <w:b/>
                <w:kern w:val="0"/>
                <w:sz w:val="22"/>
                <w:szCs w:val="22"/>
                <w:lang w:val="en-US" w:eastAsia="zh-CN"/>
              </w:rPr>
              <w:t>：</w:t>
            </w:r>
            <w:r>
              <w:rPr>
                <w:rFonts w:hint="eastAsia" w:ascii="黑体" w:eastAsia="黑体"/>
                <w:b/>
                <w:kern w:val="0"/>
                <w:sz w:val="18"/>
                <w:szCs w:val="18"/>
                <w:lang w:val="en-US" w:eastAsia="zh-CN"/>
              </w:rPr>
              <w:t>店招共1个，长7米，高1.25米，厚0.1米，共计平面面积大约8.75平方</w:t>
            </w:r>
            <w:bookmarkStart w:id="0" w:name="_GoBack"/>
            <w:bookmarkEnd w:id="0"/>
            <w:r>
              <w:rPr>
                <w:rFonts w:hint="eastAsia" w:ascii="黑体" w:eastAsia="黑体"/>
                <w:b/>
                <w:kern w:val="0"/>
                <w:sz w:val="18"/>
                <w:szCs w:val="18"/>
                <w:lang w:val="en-US" w:eastAsia="zh-CN"/>
              </w:rPr>
              <w:t>米；</w:t>
            </w:r>
          </w:p>
          <w:p w14:paraId="0CE83D46">
            <w:pPr>
              <w:keepNext w:val="0"/>
              <w:keepLines w:val="0"/>
              <w:pageBreakBefore w:val="0"/>
              <w:widowControl w:val="0"/>
              <w:kinsoku/>
              <w:wordWrap/>
              <w:overflowPunct/>
              <w:topLinePunct w:val="0"/>
              <w:autoSpaceDE/>
              <w:autoSpaceDN/>
              <w:bidi w:val="0"/>
              <w:adjustRightInd/>
              <w:snapToGrid/>
              <w:spacing w:line="460" w:lineRule="exact"/>
              <w:ind w:left="1802" w:hanging="1205" w:hangingChars="600"/>
              <w:jc w:val="both"/>
              <w:textAlignment w:val="auto"/>
              <w:rPr>
                <w:rFonts w:hint="default" w:ascii="黑体" w:hAnsi="黑体" w:eastAsia="黑体" w:cs="黑体"/>
                <w:b/>
                <w:spacing w:val="1936"/>
                <w:w w:val="100"/>
                <w:kern w:val="0"/>
                <w:sz w:val="20"/>
                <w:szCs w:val="20"/>
                <w:fitText w:val="2136" w:id="2129803589"/>
                <w:lang w:val="en-US" w:eastAsia="zh-CN"/>
              </w:rPr>
            </w:pPr>
            <w:r>
              <w:rPr>
                <w:rFonts w:hint="eastAsia" w:ascii="黑体" w:hAnsi="黑体" w:eastAsia="黑体" w:cs="黑体"/>
                <w:b/>
                <w:kern w:val="0"/>
                <w:sz w:val="20"/>
                <w:szCs w:val="20"/>
                <w:lang w:val="en-US" w:eastAsia="zh-CN"/>
              </w:rPr>
              <w:t>备     注：</w:t>
            </w:r>
            <w:r>
              <w:rPr>
                <w:rFonts w:hint="eastAsia" w:ascii="黑体" w:hAnsi="黑体" w:eastAsia="黑体" w:cs="黑体"/>
                <w:b/>
                <w:kern w:val="0"/>
                <w:sz w:val="18"/>
                <w:szCs w:val="18"/>
                <w:lang w:val="en-US" w:eastAsia="zh-CN"/>
              </w:rPr>
              <w:t>转角招牌1个</w:t>
            </w:r>
            <w:r>
              <w:rPr>
                <w:rFonts w:hint="eastAsia" w:ascii="黑体" w:hAnsi="黑体" w:eastAsia="黑体" w:cs="黑体"/>
                <w:b/>
                <w:kern w:val="0"/>
                <w:sz w:val="20"/>
                <w:szCs w:val="20"/>
                <w:lang w:val="en-US" w:eastAsia="zh-CN"/>
              </w:rPr>
              <w:t>，</w:t>
            </w:r>
            <w:r>
              <w:rPr>
                <w:rFonts w:hint="eastAsia" w:ascii="黑体" w:eastAsia="黑体"/>
                <w:b/>
                <w:kern w:val="0"/>
                <w:sz w:val="18"/>
                <w:szCs w:val="18"/>
                <w:lang w:val="en-US" w:eastAsia="zh-CN"/>
              </w:rPr>
              <w:t>长5米，高1.25米，厚0.1米，共计平面面积大约6.25平方米；</w:t>
            </w:r>
          </w:p>
          <w:p w14:paraId="4625170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z w:val="10"/>
                <w:szCs w:val="10"/>
              </w:rPr>
            </w:pPr>
            <w:r>
              <w:rPr>
                <w:rFonts w:hint="eastAsia" w:ascii="黑体" w:hAnsi="黑体" w:eastAsia="黑体" w:cs="黑体"/>
                <w:b/>
                <w:bCs w:val="0"/>
                <w:sz w:val="16"/>
                <w:szCs w:val="16"/>
              </w:rPr>
              <w:t>许可证有效期限</w:t>
            </w:r>
            <w:r>
              <w:rPr>
                <w:rFonts w:hint="eastAsia" w:ascii="黑体" w:hAnsi="黑体" w:eastAsia="黑体" w:cs="黑体"/>
                <w:b/>
                <w:kern w:val="0"/>
                <w:sz w:val="16"/>
                <w:szCs w:val="16"/>
                <w:lang w:val="en-US" w:eastAsia="zh-CN"/>
              </w:rPr>
              <w:t>：</w:t>
            </w:r>
            <w:r>
              <w:rPr>
                <w:rFonts w:hint="eastAsia" w:ascii="黑体" w:hAnsi="黑体" w:eastAsia="黑体" w:cs="黑体"/>
                <w:b/>
                <w:kern w:val="0"/>
                <w:sz w:val="18"/>
                <w:szCs w:val="18"/>
                <w:lang w:val="en-US" w:eastAsia="zh-CN"/>
              </w:rPr>
              <w:t>二0二五年十月十一日至二0二六年十月十日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sz w:val="24"/>
                <w:szCs w:val="24"/>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914" w:firstLineChars="700"/>
              <w:jc w:val="both"/>
              <w:textAlignment w:val="auto"/>
              <w:rPr>
                <w:rFonts w:hint="eastAsia"/>
                <w:lang w:val="en-US" w:eastAsia="zh-CN"/>
              </w:rPr>
            </w:pPr>
            <w:r>
              <w:rPr>
                <w:rFonts w:hint="eastAsia" w:ascii="黑体" w:eastAsia="黑体"/>
                <w:b/>
                <w:sz w:val="13"/>
                <w:szCs w:val="13"/>
                <w:lang w:val="en-US" w:eastAsia="zh-CN"/>
              </w:rPr>
              <w:t xml:space="preserve">发证机关章  </w:t>
            </w:r>
            <w:r>
              <w:rPr>
                <w:rFonts w:hint="eastAsia" w:ascii="黑体" w:eastAsia="黑体"/>
                <w:b/>
                <w:sz w:val="13"/>
                <w:szCs w:val="13"/>
              </w:rPr>
              <w:t>平昌县</w:t>
            </w:r>
            <w:r>
              <w:rPr>
                <w:rFonts w:hint="eastAsia" w:ascii="黑体" w:eastAsia="黑体"/>
                <w:b/>
                <w:sz w:val="13"/>
                <w:szCs w:val="13"/>
                <w:lang w:eastAsia="zh-CN"/>
              </w:rPr>
              <w:t>综合行政执法</w:t>
            </w:r>
            <w:r>
              <w:rPr>
                <w:rFonts w:hint="eastAsia" w:ascii="黑体" w:eastAsia="黑体"/>
                <w:b/>
                <w:sz w:val="13"/>
                <w:szCs w:val="13"/>
              </w:rPr>
              <w:t>局</w:t>
            </w:r>
            <w:r>
              <w:rPr>
                <w:rFonts w:hint="eastAsia" w:ascii="黑体" w:eastAsia="黑体"/>
                <w:b/>
                <w:sz w:val="15"/>
                <w:szCs w:val="15"/>
              </w:rPr>
              <w:t>二0</w:t>
            </w:r>
            <w:r>
              <w:rPr>
                <w:rFonts w:hint="eastAsia" w:ascii="黑体" w:eastAsia="黑体"/>
                <w:b/>
                <w:sz w:val="15"/>
                <w:szCs w:val="15"/>
                <w:lang w:eastAsia="zh-CN"/>
              </w:rPr>
              <w:t>二</w:t>
            </w:r>
            <w:r>
              <w:rPr>
                <w:rFonts w:hint="eastAsia" w:ascii="黑体" w:eastAsia="黑体"/>
                <w:b/>
                <w:sz w:val="15"/>
                <w:szCs w:val="15"/>
                <w:lang w:val="en-US" w:eastAsia="zh-CN"/>
              </w:rPr>
              <w:t>五</w:t>
            </w:r>
            <w:r>
              <w:rPr>
                <w:rFonts w:hint="eastAsia" w:ascii="黑体" w:eastAsia="黑体"/>
                <w:b/>
                <w:sz w:val="15"/>
                <w:szCs w:val="15"/>
              </w:rPr>
              <w:t>年</w:t>
            </w:r>
            <w:r>
              <w:rPr>
                <w:rFonts w:hint="eastAsia" w:ascii="黑体" w:eastAsia="黑体"/>
                <w:b/>
                <w:sz w:val="15"/>
                <w:szCs w:val="15"/>
                <w:lang w:val="en-US" w:eastAsia="zh-CN"/>
              </w:rPr>
              <w:t>十</w:t>
            </w:r>
            <w:r>
              <w:rPr>
                <w:rFonts w:hint="eastAsia" w:ascii="黑体" w:eastAsia="黑体"/>
                <w:b/>
                <w:sz w:val="15"/>
                <w:szCs w:val="15"/>
                <w:lang w:eastAsia="zh-CN"/>
              </w:rPr>
              <w:t>月</w:t>
            </w:r>
            <w:r>
              <w:rPr>
                <w:rFonts w:hint="eastAsia" w:ascii="黑体" w:eastAsia="黑体"/>
                <w:b/>
                <w:sz w:val="15"/>
                <w:szCs w:val="15"/>
                <w:lang w:val="en-US" w:eastAsia="zh-CN"/>
              </w:rPr>
              <w:t>十一</w:t>
            </w:r>
            <w:r>
              <w:rPr>
                <w:rFonts w:hint="eastAsia" w:ascii="黑体" w:eastAsia="黑体"/>
                <w:b/>
                <w:sz w:val="15"/>
                <w:szCs w:val="15"/>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306号</w:t>
            </w:r>
          </w:p>
          <w:p w14:paraId="7C1D54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平昌云禾营销策划有限公司</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金宝街道竹园社区壹號公馆3号商业楼2楼1号、2号、3号</w:t>
            </w: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：云禾房产</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店招共1个，长7米，高1.25米，厚0.1米，共计平面面积大约8.75平方米；</w:t>
            </w:r>
          </w:p>
          <w:p w14:paraId="1C05782E">
            <w:pPr>
              <w:keepNext w:val="0"/>
              <w:keepLines w:val="0"/>
              <w:pageBreakBefore w:val="0"/>
              <w:widowControl w:val="0"/>
              <w:kinsoku/>
              <w:wordWrap/>
              <w:overflowPunct/>
              <w:topLinePunct w:val="0"/>
              <w:autoSpaceDE/>
              <w:autoSpaceDN/>
              <w:bidi w:val="0"/>
              <w:adjustRightInd/>
              <w:snapToGrid/>
              <w:spacing w:line="460" w:lineRule="exact"/>
              <w:ind w:left="1802" w:hanging="1687" w:hangingChars="600"/>
              <w:jc w:val="both"/>
              <w:textAlignment w:val="auto"/>
              <w:rPr>
                <w:rFonts w:hint="default" w:ascii="黑体" w:hAnsi="黑体" w:eastAsia="黑体" w:cs="黑体"/>
                <w:b/>
                <w:spacing w:val="0"/>
                <w:w w:val="99"/>
                <w:kern w:val="0"/>
                <w:sz w:val="22"/>
                <w:szCs w:val="22"/>
                <w:fitText w:val="2136" w:id="2129803589"/>
                <w:lang w:val="en-US" w:eastAsia="zh-CN"/>
              </w:rPr>
            </w:pPr>
            <w:r>
              <w:rPr>
                <w:rFonts w:hint="eastAsia" w:ascii="黑体" w:hAnsi="黑体" w:eastAsia="黑体" w:cs="黑体"/>
                <w:b/>
                <w:kern w:val="0"/>
                <w:sz w:val="28"/>
                <w:szCs w:val="28"/>
                <w:lang w:val="en-US" w:eastAsia="zh-CN"/>
              </w:rPr>
              <w:t>备        注：</w:t>
            </w:r>
            <w:r>
              <w:rPr>
                <w:rFonts w:hint="eastAsia" w:ascii="黑体" w:hAnsi="黑体" w:eastAsia="黑体" w:cs="黑体"/>
                <w:b/>
                <w:kern w:val="0"/>
                <w:sz w:val="22"/>
                <w:szCs w:val="22"/>
                <w:lang w:val="en-US" w:eastAsia="zh-CN"/>
              </w:rPr>
              <w:t>转角招牌1个</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长5米，高1.25米，厚0.1米，共计平面面积大约6.25平方米；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2"/>
                <w:szCs w:val="22"/>
                <w:lang w:val="en-US" w:eastAsia="zh-CN"/>
              </w:rPr>
            </w:pPr>
            <w:r>
              <w:rPr>
                <w:rFonts w:hint="eastAsia" w:ascii="黑体" w:hAnsi="黑体" w:eastAsia="黑体" w:cs="黑体"/>
                <w:b/>
                <w:spacing w:val="0"/>
                <w:w w:val="99"/>
                <w:kern w:val="0"/>
                <w:sz w:val="24"/>
                <w:szCs w:val="24"/>
                <w:fitText w:val="2136" w:id="2129803589"/>
              </w:rPr>
              <w:t>许可证有效期限</w:t>
            </w:r>
            <w:r>
              <w:rPr>
                <w:rFonts w:hint="eastAsia" w:ascii="黑体" w:hAnsi="黑体" w:eastAsia="黑体" w:cs="黑体"/>
                <w:b/>
                <w:spacing w:val="4"/>
                <w:w w:val="99"/>
                <w:kern w:val="0"/>
                <w:sz w:val="24"/>
                <w:szCs w:val="24"/>
                <w:fitText w:val="2136" w:id="2129803589"/>
              </w:rPr>
              <w:t>：</w:t>
            </w: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十一</w:t>
            </w:r>
            <w:r>
              <w:rPr>
                <w:rFonts w:hint="eastAsia" w:ascii="黑体" w:eastAsia="黑体"/>
                <w:b/>
                <w:sz w:val="22"/>
                <w:szCs w:val="22"/>
                <w:lang w:eastAsia="zh-CN"/>
              </w:rPr>
              <w:t>日</w:t>
            </w:r>
            <w:r>
              <w:rPr>
                <w:rFonts w:hint="eastAsia" w:ascii="黑体" w:eastAsia="黑体"/>
                <w:b/>
                <w:kern w:val="0"/>
                <w:sz w:val="22"/>
                <w:szCs w:val="22"/>
                <w:lang w:val="en-US" w:eastAsia="zh-CN"/>
              </w:rPr>
              <w:t>至二0二六年十月十日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1"/>
                <w:szCs w:val="21"/>
                <w:lang w:val="en-US" w:eastAsia="zh-CN"/>
              </w:rPr>
            </w:pPr>
            <w:r>
              <w:rPr>
                <w:rFonts w:hint="eastAsia" w:ascii="黑体" w:hAnsi="黑体" w:eastAsia="黑体" w:cs="黑体"/>
                <w:b/>
                <w:sz w:val="22"/>
                <w:szCs w:val="22"/>
              </w:rPr>
              <w:t>注</w:t>
            </w:r>
            <w:r>
              <w:rPr>
                <w:rFonts w:hint="eastAsia" w:ascii="黑体" w:hAnsi="黑体" w:eastAsia="黑体" w:cs="黑体"/>
                <w:b/>
                <w:sz w:val="22"/>
                <w:szCs w:val="22"/>
                <w:lang w:eastAsia="zh-CN"/>
              </w:rPr>
              <w:t>：</w:t>
            </w:r>
            <w:r>
              <w:rPr>
                <w:rFonts w:hint="eastAsia" w:ascii="黑体" w:hAnsi="黑体" w:eastAsia="黑体" w:cs="黑体"/>
                <w:b/>
                <w:sz w:val="22"/>
                <w:szCs w:val="22"/>
                <w:lang w:val="en-US" w:eastAsia="zh-CN"/>
              </w:rPr>
              <w:t xml:space="preserve"> </w:t>
            </w:r>
            <w:r>
              <w:rPr>
                <w:rFonts w:hint="eastAsia" w:ascii="黑体" w:hAnsi="黑体" w:eastAsia="黑体" w:cs="黑体"/>
                <w:b/>
                <w:bCs w:val="0"/>
                <w:sz w:val="21"/>
                <w:szCs w:val="21"/>
              </w:rPr>
              <w:t>1、</w:t>
            </w:r>
            <w:r>
              <w:rPr>
                <w:rFonts w:hint="eastAsia" w:ascii="黑体" w:hAnsi="黑体" w:eastAsia="黑体" w:cs="黑体"/>
                <w:b/>
                <w:bCs w:val="0"/>
                <w:sz w:val="21"/>
                <w:szCs w:val="21"/>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140" w:leftChars="342" w:hanging="422" w:hangingChars="200"/>
              <w:jc w:val="both"/>
              <w:textAlignment w:val="auto"/>
              <w:rPr>
                <w:rFonts w:hint="eastAsia" w:ascii="黑体" w:hAnsi="黑体" w:eastAsia="黑体" w:cs="黑体"/>
                <w:b/>
                <w:bCs w:val="0"/>
                <w:sz w:val="21"/>
                <w:szCs w:val="21"/>
                <w:lang w:val="en-US" w:eastAsia="zh-CN"/>
              </w:rPr>
            </w:pPr>
            <w:r>
              <w:rPr>
                <w:rFonts w:hint="eastAsia" w:ascii="黑体" w:hAnsi="黑体" w:eastAsia="黑体" w:cs="黑体"/>
                <w:b/>
                <w:bCs w:val="0"/>
                <w:sz w:val="21"/>
                <w:szCs w:val="21"/>
              </w:rPr>
              <w:t>2、</w:t>
            </w:r>
            <w:r>
              <w:rPr>
                <w:rFonts w:hint="eastAsia" w:ascii="黑体" w:hAnsi="黑体" w:eastAsia="黑体" w:cs="黑体"/>
                <w:b/>
                <w:bCs w:val="0"/>
                <w:sz w:val="21"/>
                <w:szCs w:val="21"/>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632" w:firstLineChars="3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632" w:firstLineChars="300"/>
              <w:jc w:val="both"/>
              <w:textAlignment w:val="auto"/>
              <w:rPr>
                <w:rFonts w:hint="default" w:ascii="黑体" w:eastAsia="黑体"/>
                <w:b/>
                <w:bCs w:val="0"/>
                <w:sz w:val="21"/>
                <w:szCs w:val="21"/>
                <w:lang w:val="en-US" w:eastAsia="zh-CN"/>
              </w:rPr>
            </w:pPr>
            <w:r>
              <w:rPr>
                <w:rFonts w:hint="eastAsia" w:ascii="黑体" w:eastAsia="黑体"/>
                <w:b/>
                <w:bCs w:val="0"/>
                <w:sz w:val="21"/>
                <w:szCs w:val="21"/>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140" w:leftChars="342" w:hanging="422" w:hangingChars="2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140" w:leftChars="342" w:hanging="422" w:hangingChars="2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632" w:firstLineChars="3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7、若城市户外广告具有发光功能，务必安装定时开关装置或定时降低亮度装置器。</w:t>
            </w:r>
          </w:p>
          <w:p w14:paraId="24565A42">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281" w:firstLineChars="100"/>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十一</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553E7"/>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1008</Words>
  <Characters>1050</Characters>
  <Lines>5</Lines>
  <Paragraphs>1</Paragraphs>
  <TotalTime>17</TotalTime>
  <ScaleCrop>false</ScaleCrop>
  <LinksUpToDate>false</LinksUpToDate>
  <CharactersWithSpaces>1158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2025-10-10T02:48:00Z</cp:lastPrinted>
  <dcterms:modified xsi:type="dcterms:W3CDTF">2025-10-13T02:15:55Z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5655EB4A0FA54E5388A990AE304FF62C_13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