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327号</w:t>
            </w:r>
          </w:p>
          <w:p w14:paraId="7F18EF5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：平昌县雨杨源食品店</w:t>
            </w:r>
          </w:p>
          <w:p w14:paraId="43527A7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5"/>
                <w:szCs w:val="15"/>
                <w:lang w:val="en-US" w:eastAsia="zh-CN"/>
              </w:rPr>
            </w:pPr>
            <w:r>
              <w:rPr>
                <w:rFonts w:hint="eastAsia" w:ascii="黑体" w:hAnsi="黑体" w:eastAsia="黑体" w:cs="黑体"/>
                <w:b/>
                <w:spacing w:val="0"/>
                <w:w w:val="71"/>
                <w:kern w:val="0"/>
                <w:sz w:val="24"/>
                <w:szCs w:val="24"/>
                <w:fitText w:val="1656" w:id="329728678"/>
              </w:rPr>
              <w:t>悬挂（设置）地点</w:t>
            </w:r>
            <w:r>
              <w:rPr>
                <w:rFonts w:hint="eastAsia" w:ascii="黑体" w:hAnsi="黑体" w:eastAsia="黑体" w:cs="黑体"/>
                <w:b/>
                <w:spacing w:val="0"/>
                <w:w w:val="71"/>
                <w:kern w:val="0"/>
                <w:sz w:val="24"/>
                <w:szCs w:val="24"/>
                <w:fitText w:val="1656" w:id="329728678"/>
                <w:lang w:val="en-US" w:eastAsia="zh-CN"/>
              </w:rPr>
              <w:t xml:space="preserve"> </w:t>
            </w:r>
            <w:r>
              <w:rPr>
                <w:rFonts w:hint="eastAsia" w:ascii="黑体" w:hAnsi="黑体" w:eastAsia="黑体" w:cs="黑体"/>
                <w:b/>
                <w:spacing w:val="2"/>
                <w:w w:val="71"/>
                <w:kern w:val="0"/>
                <w:sz w:val="28"/>
                <w:szCs w:val="28"/>
                <w:fitText w:val="1656" w:id="329728678"/>
              </w:rPr>
              <w:t>：</w:t>
            </w:r>
            <w:r>
              <w:rPr>
                <w:rFonts w:hint="eastAsia" w:ascii="黑体" w:eastAsia="黑体"/>
                <w:b/>
                <w:kern w:val="0"/>
                <w:sz w:val="15"/>
                <w:szCs w:val="15"/>
                <w:lang w:val="en-US" w:eastAsia="zh-CN"/>
              </w:rPr>
              <w:t>信义大道金锣湾商业城1幢1单元1层2号</w:t>
            </w:r>
          </w:p>
          <w:p w14:paraId="530C5B2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61"/>
                <w:kern w:val="0"/>
                <w:sz w:val="28"/>
                <w:szCs w:val="28"/>
                <w:fitText w:val="341" w:id="140351981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eastAsia="黑体"/>
                <w:b/>
                <w:kern w:val="0"/>
                <w:sz w:val="24"/>
                <w:szCs w:val="24"/>
                <w:lang w:val="en-US" w:eastAsia="zh-CN"/>
              </w:rPr>
              <w:t xml:space="preserve">零食有鸣 </w:t>
            </w:r>
            <w:r>
              <w:rPr>
                <w:rFonts w:hint="eastAsia" w:ascii="黑体" w:eastAsia="黑体"/>
                <w:b/>
                <w:kern w:val="0"/>
                <w:sz w:val="22"/>
                <w:szCs w:val="22"/>
                <w:lang w:val="en-US" w:eastAsia="zh-CN"/>
              </w:rPr>
              <w:t>批发超市</w:t>
            </w:r>
          </w:p>
          <w:p w14:paraId="29F507DC">
            <w:pPr>
              <w:keepNext w:val="0"/>
              <w:keepLines w:val="0"/>
              <w:pageBreakBefore w:val="0"/>
              <w:widowControl w:val="0"/>
              <w:kinsoku/>
              <w:wordWrap/>
              <w:overflowPunct/>
              <w:topLinePunct w:val="0"/>
              <w:autoSpaceDE/>
              <w:autoSpaceDN/>
              <w:bidi w:val="0"/>
              <w:adjustRightInd/>
              <w:snapToGrid/>
              <w:spacing w:line="460" w:lineRule="exact"/>
              <w:ind w:left="1325" w:hanging="1325" w:hangingChars="600"/>
              <w:jc w:val="both"/>
              <w:textAlignment w:val="auto"/>
              <w:rPr>
                <w:rFonts w:hint="eastAsia" w:ascii="黑体" w:eastAsia="黑体"/>
                <w:b/>
                <w:kern w:val="0"/>
                <w:sz w:val="18"/>
                <w:szCs w:val="18"/>
                <w:lang w:val="en-US" w:eastAsia="zh-CN"/>
              </w:rPr>
            </w:pPr>
            <w:r>
              <w:rPr>
                <w:rFonts w:hint="eastAsia" w:ascii="黑体" w:hAnsi="黑体" w:eastAsia="黑体" w:cs="黑体"/>
                <w:b/>
                <w:kern w:val="0"/>
                <w:sz w:val="22"/>
                <w:szCs w:val="22"/>
                <w:lang w:val="en-US" w:eastAsia="zh-CN"/>
              </w:rPr>
              <w:t>面积、</w:t>
            </w:r>
            <w:r>
              <w:rPr>
                <w:rFonts w:hint="eastAsia" w:ascii="黑体" w:hAnsi="黑体" w:eastAsia="黑体" w:cs="黑体"/>
                <w:b/>
                <w:kern w:val="0"/>
                <w:sz w:val="21"/>
                <w:szCs w:val="21"/>
                <w:lang w:val="en-US" w:eastAsia="zh-CN"/>
              </w:rPr>
              <w:t>数量</w:t>
            </w:r>
            <w:r>
              <w:rPr>
                <w:rFonts w:hint="eastAsia" w:ascii="黑体" w:eastAsia="黑体"/>
                <w:b/>
                <w:kern w:val="0"/>
                <w:sz w:val="22"/>
                <w:szCs w:val="22"/>
                <w:lang w:val="en-US" w:eastAsia="zh-CN"/>
              </w:rPr>
              <w:t>：</w:t>
            </w:r>
            <w:r>
              <w:rPr>
                <w:rFonts w:hint="eastAsia" w:ascii="黑体" w:eastAsia="黑体"/>
                <w:b/>
                <w:kern w:val="0"/>
                <w:sz w:val="18"/>
                <w:szCs w:val="18"/>
                <w:lang w:val="en-US" w:eastAsia="zh-CN"/>
              </w:rPr>
              <w:t>店招共1个，长15.6米，高1.6米，厚0.3米，共计平面面积大约25平方米；</w:t>
            </w:r>
          </w:p>
          <w:p w14:paraId="096B1056">
            <w:pPr>
              <w:keepNext w:val="0"/>
              <w:keepLines w:val="0"/>
              <w:pageBreakBefore w:val="0"/>
              <w:widowControl w:val="0"/>
              <w:kinsoku/>
              <w:wordWrap/>
              <w:overflowPunct/>
              <w:topLinePunct w:val="0"/>
              <w:autoSpaceDE/>
              <w:autoSpaceDN/>
              <w:bidi w:val="0"/>
              <w:adjustRightInd/>
              <w:snapToGrid/>
              <w:spacing w:line="460" w:lineRule="exact"/>
              <w:ind w:left="1968" w:hanging="1497" w:hangingChars="700"/>
              <w:jc w:val="both"/>
              <w:textAlignment w:val="auto"/>
              <w:rPr>
                <w:rFonts w:hint="default" w:ascii="黑体" w:eastAsia="黑体"/>
                <w:b/>
                <w:kern w:val="0"/>
                <w:sz w:val="16"/>
                <w:szCs w:val="16"/>
                <w:lang w:val="en-US" w:eastAsia="zh-CN"/>
              </w:rPr>
            </w:pPr>
            <w:r>
              <w:rPr>
                <w:rFonts w:hint="eastAsia" w:ascii="黑体" w:hAnsi="黑体" w:eastAsia="黑体" w:cs="黑体"/>
                <w:b/>
                <w:spacing w:val="0"/>
                <w:w w:val="97"/>
                <w:kern w:val="0"/>
                <w:sz w:val="22"/>
                <w:szCs w:val="22"/>
                <w:fitText w:val="1176" w:id="120156757"/>
                <w:lang w:val="en-US" w:eastAsia="zh-CN"/>
              </w:rPr>
              <w:t>备       注</w:t>
            </w:r>
            <w:r>
              <w:rPr>
                <w:rFonts w:hint="eastAsia" w:ascii="黑体" w:eastAsia="黑体"/>
                <w:b/>
                <w:kern w:val="0"/>
                <w:sz w:val="20"/>
                <w:szCs w:val="20"/>
                <w:lang w:val="en-US" w:eastAsia="zh-CN"/>
              </w:rPr>
              <w:t>：</w:t>
            </w:r>
            <w:r>
              <w:rPr>
                <w:rFonts w:hint="eastAsia" w:ascii="黑体" w:eastAsia="黑体"/>
                <w:b/>
                <w:kern w:val="0"/>
                <w:sz w:val="16"/>
                <w:szCs w:val="16"/>
                <w:lang w:val="en-US" w:eastAsia="zh-CN"/>
              </w:rPr>
              <w:t>贯通式招牌共1个，长3.9米，高1.6米，厚0.3米，共计平面面积大约6.2平方米；</w:t>
            </w:r>
          </w:p>
          <w:p w14:paraId="30535E97">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eastAsia="黑体"/>
                <w:b/>
                <w:kern w:val="0"/>
                <w:sz w:val="24"/>
                <w:szCs w:val="24"/>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三</w:t>
            </w:r>
            <w:r>
              <w:rPr>
                <w:rFonts w:hint="eastAsia" w:ascii="黑体" w:eastAsia="黑体"/>
                <w:b/>
                <w:sz w:val="24"/>
                <w:szCs w:val="24"/>
                <w:lang w:eastAsia="zh-CN"/>
              </w:rPr>
              <w:t>日</w:t>
            </w:r>
            <w:r>
              <w:rPr>
                <w:rFonts w:hint="eastAsia" w:ascii="黑体" w:eastAsia="黑体"/>
                <w:b/>
                <w:kern w:val="0"/>
                <w:sz w:val="24"/>
                <w:szCs w:val="24"/>
                <w:lang w:val="en-US" w:eastAsia="zh-CN"/>
              </w:rPr>
              <w:t>至二0二六年十一月二日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1"/>
                <w:szCs w:val="11"/>
                <w:lang w:val="en-US" w:eastAsia="zh-CN"/>
              </w:rPr>
            </w:pPr>
            <w:r>
              <w:rPr>
                <w:rFonts w:hint="eastAsia" w:ascii="黑体" w:hAnsi="黑体" w:eastAsia="黑体" w:cs="黑体"/>
                <w:b/>
                <w:sz w:val="13"/>
                <w:szCs w:val="13"/>
              </w:rPr>
              <w:t>注</w:t>
            </w:r>
            <w:r>
              <w:rPr>
                <w:rFonts w:hint="eastAsia" w:ascii="黑体" w:hAnsi="黑体" w:eastAsia="黑体" w:cs="黑体"/>
                <w:b/>
                <w:sz w:val="13"/>
                <w:szCs w:val="13"/>
                <w:lang w:eastAsia="zh-CN"/>
              </w:rPr>
              <w:t>：</w:t>
            </w:r>
            <w:r>
              <w:rPr>
                <w:rFonts w:hint="eastAsia" w:ascii="黑体" w:hAnsi="黑体" w:eastAsia="黑体" w:cs="黑体"/>
                <w:b/>
                <w:sz w:val="13"/>
                <w:szCs w:val="13"/>
                <w:lang w:val="en-US" w:eastAsia="zh-CN"/>
              </w:rPr>
              <w:t xml:space="preserve"> </w:t>
            </w:r>
            <w:r>
              <w:rPr>
                <w:rFonts w:hint="eastAsia" w:ascii="黑体" w:hAnsi="黑体" w:eastAsia="黑体" w:cs="黑体"/>
                <w:b/>
                <w:bCs w:val="0"/>
                <w:sz w:val="11"/>
                <w:szCs w:val="11"/>
              </w:rPr>
              <w:t>1、</w:t>
            </w:r>
            <w:r>
              <w:rPr>
                <w:rFonts w:hint="eastAsia" w:ascii="黑体" w:hAnsi="黑体" w:eastAsia="黑体" w:cs="黑体"/>
                <w:b/>
                <w:bCs w:val="0"/>
                <w:sz w:val="11"/>
                <w:szCs w:val="11"/>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hAnsi="黑体" w:eastAsia="黑体" w:cs="黑体"/>
                <w:b/>
                <w:bCs w:val="0"/>
                <w:sz w:val="11"/>
                <w:szCs w:val="11"/>
                <w:lang w:val="en-US" w:eastAsia="zh-CN"/>
              </w:rPr>
            </w:pPr>
            <w:r>
              <w:rPr>
                <w:rFonts w:hint="eastAsia" w:ascii="黑体" w:hAnsi="黑体" w:eastAsia="黑体" w:cs="黑体"/>
                <w:b/>
                <w:bCs w:val="0"/>
                <w:sz w:val="11"/>
                <w:szCs w:val="11"/>
              </w:rPr>
              <w:t>2、</w:t>
            </w:r>
            <w:r>
              <w:rPr>
                <w:rFonts w:hint="eastAsia" w:ascii="黑体" w:hAnsi="黑体" w:eastAsia="黑体" w:cs="黑体"/>
                <w:b/>
                <w:bCs w:val="0"/>
                <w:sz w:val="11"/>
                <w:szCs w:val="11"/>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default" w:ascii="黑体" w:eastAsia="黑体"/>
                <w:b/>
                <w:bCs w:val="0"/>
                <w:sz w:val="11"/>
                <w:szCs w:val="11"/>
                <w:lang w:val="en-US" w:eastAsia="zh-CN"/>
              </w:rPr>
            </w:pPr>
            <w:r>
              <w:rPr>
                <w:rFonts w:hint="eastAsia" w:ascii="黑体" w:eastAsia="黑体"/>
                <w:b/>
                <w:bCs w:val="0"/>
                <w:sz w:val="11"/>
                <w:szCs w:val="11"/>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7、若城市户外广告具有发光功能，务必安装定时开关装置或定时降低亮度装置器。</w:t>
            </w:r>
          </w:p>
          <w:p w14:paraId="35029E6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right"/>
              <w:textAlignment w:val="auto"/>
              <w:rPr>
                <w:rFonts w:hint="eastAsia" w:ascii="黑体" w:eastAsia="黑体"/>
                <w:b/>
                <w:sz w:val="24"/>
                <w:szCs w:val="24"/>
                <w:lang w:val="en-US" w:eastAsia="zh-CN"/>
              </w:rPr>
            </w:pP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right"/>
              <w:textAlignment w:val="auto"/>
              <w:rPr>
                <w:rFonts w:hint="eastAsia" w:ascii="黑体" w:eastAsia="黑体"/>
                <w:b/>
                <w:sz w:val="24"/>
                <w:szCs w:val="24"/>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jc w:val="right"/>
              <w:textAlignment w:val="auto"/>
              <w:rPr>
                <w:rFonts w:hint="eastAsia"/>
                <w:lang w:val="en-US" w:eastAsia="zh-CN"/>
              </w:rPr>
            </w:pPr>
            <w:r>
              <w:rPr>
                <w:rFonts w:hint="eastAsia" w:ascii="黑体" w:eastAsia="黑体"/>
                <w:b/>
                <w:sz w:val="24"/>
                <w:szCs w:val="24"/>
                <w:lang w:val="en-US" w:eastAsia="zh-CN"/>
              </w:rPr>
              <w:t xml:space="preserve"> </w:t>
            </w: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三</w:t>
            </w:r>
            <w:r>
              <w:rPr>
                <w:rFonts w:hint="eastAsia" w:ascii="黑体" w:eastAsia="黑体"/>
                <w:b/>
                <w:sz w:val="24"/>
                <w:szCs w:val="24"/>
                <w:lang w:eastAsia="zh-CN"/>
              </w:rPr>
              <w:t>日</w:t>
            </w:r>
            <w:r>
              <w:rPr>
                <w:rFonts w:hint="eastAsia" w:ascii="黑体" w:eastAsia="黑体"/>
                <w:b/>
                <w:sz w:val="22"/>
                <w:szCs w:val="22"/>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327号</w:t>
            </w:r>
          </w:p>
          <w:p w14:paraId="013EF34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平昌县雨杨源食品店</w:t>
            </w:r>
          </w:p>
          <w:p w14:paraId="7555F34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信义大道金锣湾商业城1幢1单元1层2号</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61"/>
                <w:kern w:val="0"/>
                <w:sz w:val="28"/>
                <w:szCs w:val="28"/>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 xml:space="preserve">：零食有鸣 </w:t>
            </w:r>
            <w:r>
              <w:rPr>
                <w:rFonts w:hint="eastAsia" w:ascii="黑体" w:eastAsia="黑体"/>
                <w:b/>
                <w:kern w:val="0"/>
                <w:sz w:val="24"/>
                <w:szCs w:val="24"/>
                <w:lang w:val="en-US" w:eastAsia="zh-CN"/>
              </w:rPr>
              <w:t xml:space="preserve"> 批发超市</w:t>
            </w: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31" w:hangingChars="600"/>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1801" w:id="666177309"/>
                <w:lang w:val="en-US" w:eastAsia="zh-CN"/>
              </w:rPr>
              <w:t>面</w:t>
            </w:r>
            <w:r>
              <w:rPr>
                <w:rFonts w:hint="eastAsia" w:ascii="黑体" w:eastAsia="黑体"/>
                <w:b/>
                <w:spacing w:val="12"/>
                <w:w w:val="100"/>
                <w:kern w:val="0"/>
                <w:sz w:val="28"/>
                <w:szCs w:val="28"/>
                <w:fitText w:val="1801" w:id="666177309"/>
                <w:lang w:eastAsia="zh-CN"/>
              </w:rPr>
              <w:t>积、数量</w:t>
            </w:r>
            <w:r>
              <w:rPr>
                <w:rFonts w:hint="eastAsia" w:ascii="黑体" w:eastAsia="黑体"/>
                <w:b/>
                <w:spacing w:val="0"/>
                <w:w w:val="100"/>
                <w:kern w:val="0"/>
                <w:sz w:val="28"/>
                <w:szCs w:val="28"/>
                <w:fitText w:val="1801" w:id="666177309"/>
                <w:lang w:eastAsia="zh-CN"/>
              </w:rPr>
              <w:t>：</w:t>
            </w:r>
            <w:r>
              <w:rPr>
                <w:rFonts w:hint="eastAsia" w:ascii="黑体" w:eastAsia="黑体"/>
                <w:b/>
                <w:kern w:val="0"/>
                <w:sz w:val="28"/>
                <w:szCs w:val="28"/>
                <w:lang w:val="en-US" w:eastAsia="zh-CN"/>
              </w:rPr>
              <w:t>店招共1个，长15.6米，高1.6米，厚0.3米，共计平面面积大约25平方米；</w:t>
            </w:r>
            <w:bookmarkStart w:id="0" w:name="_GoBack"/>
            <w:bookmarkEnd w:id="0"/>
          </w:p>
          <w:p w14:paraId="56A73431">
            <w:pPr>
              <w:keepNext w:val="0"/>
              <w:keepLines w:val="0"/>
              <w:pageBreakBefore w:val="0"/>
              <w:widowControl w:val="0"/>
              <w:kinsoku/>
              <w:wordWrap/>
              <w:overflowPunct/>
              <w:topLinePunct w:val="0"/>
              <w:autoSpaceDE/>
              <w:autoSpaceDN/>
              <w:bidi w:val="0"/>
              <w:adjustRightInd/>
              <w:snapToGrid/>
              <w:spacing w:line="460" w:lineRule="exact"/>
              <w:ind w:left="1968" w:hanging="1940" w:hangingChars="700"/>
              <w:jc w:val="both"/>
              <w:textAlignment w:val="auto"/>
              <w:rPr>
                <w:rFonts w:hint="default" w:ascii="黑体" w:eastAsia="黑体"/>
                <w:b/>
                <w:kern w:val="0"/>
                <w:sz w:val="28"/>
                <w:szCs w:val="28"/>
                <w:lang w:val="en-US" w:eastAsia="zh-CN"/>
              </w:rPr>
            </w:pPr>
            <w:r>
              <w:rPr>
                <w:rFonts w:hint="eastAsia" w:ascii="黑体" w:eastAsia="黑体"/>
                <w:b/>
                <w:spacing w:val="1"/>
                <w:w w:val="98"/>
                <w:kern w:val="0"/>
                <w:sz w:val="28"/>
                <w:szCs w:val="28"/>
                <w:fitText w:val="1801" w:id="666177309"/>
                <w:lang w:val="en-US" w:eastAsia="zh-CN"/>
              </w:rPr>
              <w:t>备       注</w:t>
            </w:r>
            <w:r>
              <w:rPr>
                <w:rFonts w:hint="eastAsia" w:ascii="黑体" w:eastAsia="黑体"/>
                <w:b/>
                <w:spacing w:val="-2"/>
                <w:w w:val="98"/>
                <w:kern w:val="0"/>
                <w:sz w:val="28"/>
                <w:szCs w:val="28"/>
                <w:fitText w:val="1801" w:id="666177309"/>
                <w:lang w:val="en-US" w:eastAsia="zh-CN"/>
              </w:rPr>
              <w:t>：</w:t>
            </w:r>
            <w:r>
              <w:rPr>
                <w:rFonts w:hint="eastAsia" w:ascii="黑体" w:eastAsia="黑体"/>
                <w:b/>
                <w:kern w:val="0"/>
                <w:sz w:val="28"/>
                <w:szCs w:val="28"/>
                <w:lang w:val="en-US" w:eastAsia="zh-CN"/>
              </w:rPr>
              <w:t>贯通式招牌共1个，长3.9米，高1.6米，厚0.3米，共计平面面积大约6.2平方米；</w:t>
            </w: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三</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至二0二六年十一月二日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7CC5A27">
            <w:pPr>
              <w:keepNext w:val="0"/>
              <w:keepLines w:val="0"/>
              <w:pageBreakBefore w:val="0"/>
              <w:widowControl w:val="0"/>
              <w:kinsoku/>
              <w:wordWrap/>
              <w:overflowPunct/>
              <w:topLinePunct w:val="0"/>
              <w:autoSpaceDE/>
              <w:autoSpaceDN/>
              <w:bidi w:val="0"/>
              <w:adjustRightInd/>
              <w:snapToGrid/>
              <w:spacing w:line="460" w:lineRule="exact"/>
              <w:ind w:firstLine="281" w:firstLineChars="100"/>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三</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CF69FF"/>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13D95"/>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0571D4"/>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BE3247"/>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9E6B4B"/>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15352B"/>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173750"/>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992</Words>
  <Characters>1054</Characters>
  <Lines>5</Lines>
  <Paragraphs>1</Paragraphs>
  <TotalTime>2</TotalTime>
  <ScaleCrop>false</ScaleCrop>
  <LinksUpToDate>false</LinksUpToDate>
  <CharactersWithSpaces>1163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2025-11-03T03:44:25Z</cp:lastPrinted>
  <dcterms:modified xsi:type="dcterms:W3CDTF">2025-11-03T03:46:25Z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FA6D6DE3C47D473390BE8E7F26266D7B_13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